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55" w:rsidRDefault="00432755" w:rsidP="00432755">
      <w:pPr>
        <w:pStyle w:val="30"/>
        <w:framePr w:w="10219" w:h="2041" w:hRule="exact" w:wrap="none" w:vAnchor="page" w:hAnchor="page" w:x="1021" w:y="6466"/>
        <w:shd w:val="clear" w:color="auto" w:fill="auto"/>
        <w:tabs>
          <w:tab w:val="left" w:leader="underscore" w:pos="9242"/>
        </w:tabs>
        <w:spacing w:before="0"/>
        <w:ind w:left="560" w:right="600" w:firstLine="800"/>
        <w:rPr>
          <w:rStyle w:val="311pt2pt"/>
          <w:b/>
          <w:bCs/>
          <w:sz w:val="30"/>
          <w:szCs w:val="30"/>
        </w:rPr>
      </w:pPr>
      <w:r w:rsidRPr="00432755">
        <w:rPr>
          <w:rStyle w:val="311pt2pt"/>
          <w:b/>
          <w:bCs/>
          <w:sz w:val="30"/>
          <w:szCs w:val="30"/>
        </w:rPr>
        <w:t>Т Е Х Н</w:t>
      </w:r>
      <w:r w:rsidR="00677B2F" w:rsidRPr="00432755">
        <w:rPr>
          <w:rStyle w:val="311pt2pt"/>
          <w:b/>
          <w:bCs/>
          <w:sz w:val="30"/>
          <w:szCs w:val="30"/>
        </w:rPr>
        <w:t xml:space="preserve"> И Ч Е С К О Е </w:t>
      </w:r>
      <w:r>
        <w:rPr>
          <w:rStyle w:val="311pt2pt"/>
          <w:b/>
          <w:bCs/>
          <w:sz w:val="30"/>
          <w:szCs w:val="30"/>
        </w:rPr>
        <w:t xml:space="preserve"> </w:t>
      </w:r>
      <w:r w:rsidR="00677B2F" w:rsidRPr="00432755">
        <w:rPr>
          <w:rStyle w:val="311pt2pt"/>
          <w:b/>
          <w:bCs/>
          <w:sz w:val="30"/>
          <w:szCs w:val="30"/>
        </w:rPr>
        <w:t xml:space="preserve">3 А Д А Н И Е </w:t>
      </w:r>
    </w:p>
    <w:p w:rsidR="00A80882" w:rsidRDefault="00677B2F" w:rsidP="00A80882">
      <w:pPr>
        <w:pStyle w:val="30"/>
        <w:framePr w:w="10219" w:h="2041" w:hRule="exact" w:wrap="none" w:vAnchor="page" w:hAnchor="page" w:x="1021" w:y="6466"/>
        <w:shd w:val="clear" w:color="auto" w:fill="auto"/>
        <w:tabs>
          <w:tab w:val="left" w:leader="underscore" w:pos="9242"/>
        </w:tabs>
        <w:spacing w:before="0"/>
        <w:ind w:left="560" w:right="292" w:hanging="418"/>
        <w:jc w:val="both"/>
        <w:rPr>
          <w:sz w:val="30"/>
          <w:szCs w:val="30"/>
        </w:rPr>
      </w:pPr>
      <w:r w:rsidRPr="00432755">
        <w:rPr>
          <w:sz w:val="30"/>
          <w:szCs w:val="30"/>
        </w:rPr>
        <w:t>на оказание услуги по сбору и обобщению информации дл</w:t>
      </w:r>
      <w:r w:rsidR="00432755">
        <w:rPr>
          <w:sz w:val="30"/>
          <w:szCs w:val="30"/>
        </w:rPr>
        <w:t>я проведения</w:t>
      </w:r>
      <w:r w:rsidRPr="00432755">
        <w:rPr>
          <w:sz w:val="30"/>
          <w:szCs w:val="30"/>
        </w:rPr>
        <w:t xml:space="preserve"> </w:t>
      </w:r>
    </w:p>
    <w:p w:rsidR="00A80882" w:rsidRDefault="00677B2F" w:rsidP="00432755">
      <w:pPr>
        <w:pStyle w:val="30"/>
        <w:framePr w:w="10219" w:h="2041" w:hRule="exact" w:wrap="none" w:vAnchor="page" w:hAnchor="page" w:x="1021" w:y="6466"/>
        <w:shd w:val="clear" w:color="auto" w:fill="auto"/>
        <w:tabs>
          <w:tab w:val="left" w:leader="underscore" w:pos="9242"/>
        </w:tabs>
        <w:spacing w:before="0"/>
        <w:ind w:left="560" w:right="600" w:firstLine="800"/>
        <w:rPr>
          <w:sz w:val="30"/>
          <w:szCs w:val="30"/>
        </w:rPr>
      </w:pPr>
      <w:r w:rsidRPr="00432755">
        <w:rPr>
          <w:sz w:val="30"/>
          <w:szCs w:val="30"/>
        </w:rPr>
        <w:t xml:space="preserve">Общественным советом </w:t>
      </w:r>
      <w:r w:rsidR="00A80882" w:rsidRPr="00432755">
        <w:rPr>
          <w:sz w:val="30"/>
          <w:szCs w:val="30"/>
        </w:rPr>
        <w:t>при Администрации</w:t>
      </w:r>
    </w:p>
    <w:p w:rsidR="00483CEA" w:rsidRPr="00432755" w:rsidRDefault="00A80882" w:rsidP="00432755">
      <w:pPr>
        <w:pStyle w:val="30"/>
        <w:framePr w:w="10219" w:h="2041" w:hRule="exact" w:wrap="none" w:vAnchor="page" w:hAnchor="page" w:x="1021" w:y="6466"/>
        <w:shd w:val="clear" w:color="auto" w:fill="auto"/>
        <w:tabs>
          <w:tab w:val="left" w:leader="underscore" w:pos="9242"/>
        </w:tabs>
        <w:spacing w:before="0"/>
        <w:ind w:left="560" w:right="600" w:firstLine="8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</w:t>
      </w:r>
      <w:r w:rsidR="00432755" w:rsidRPr="00432755">
        <w:rPr>
          <w:sz w:val="30"/>
          <w:szCs w:val="30"/>
          <w:u w:val="single"/>
        </w:rPr>
        <w:t xml:space="preserve"> МР </w:t>
      </w:r>
      <w:r>
        <w:rPr>
          <w:sz w:val="30"/>
          <w:szCs w:val="30"/>
          <w:u w:val="single"/>
        </w:rPr>
        <w:t>«</w:t>
      </w:r>
      <w:r w:rsidR="00432755" w:rsidRPr="00432755">
        <w:rPr>
          <w:sz w:val="30"/>
          <w:szCs w:val="30"/>
          <w:u w:val="single"/>
        </w:rPr>
        <w:t>Левашинский район»</w:t>
      </w:r>
    </w:p>
    <w:p w:rsidR="00432755" w:rsidRPr="00A80882" w:rsidRDefault="00432755" w:rsidP="00432755">
      <w:pPr>
        <w:pStyle w:val="40"/>
        <w:framePr w:w="10219" w:h="2041" w:hRule="exact" w:wrap="none" w:vAnchor="page" w:hAnchor="page" w:x="1021" w:y="6466"/>
        <w:shd w:val="clear" w:color="auto" w:fill="auto"/>
        <w:spacing w:after="302" w:line="210" w:lineRule="exact"/>
        <w:ind w:left="240"/>
        <w:jc w:val="left"/>
        <w:rPr>
          <w:sz w:val="16"/>
          <w:szCs w:val="16"/>
        </w:rPr>
      </w:pPr>
      <w:r>
        <w:t xml:space="preserve">                     </w:t>
      </w:r>
      <w:r w:rsidRPr="00A80882">
        <w:rPr>
          <w:sz w:val="16"/>
          <w:szCs w:val="16"/>
        </w:rPr>
        <w:t xml:space="preserve">  </w:t>
      </w:r>
      <w:r w:rsidR="00677B2F" w:rsidRPr="00A80882">
        <w:rPr>
          <w:sz w:val="16"/>
          <w:szCs w:val="16"/>
        </w:rPr>
        <w:t>(указывается орган исполнительной власти Республики</w:t>
      </w:r>
      <w:r w:rsidRPr="00A80882">
        <w:rPr>
          <w:sz w:val="16"/>
          <w:szCs w:val="16"/>
        </w:rPr>
        <w:t xml:space="preserve"> Дагестан либо Администрация муниципального образования, </w:t>
      </w:r>
      <w:r w:rsidRPr="00A80882">
        <w:rPr>
          <w:sz w:val="16"/>
          <w:szCs w:val="16"/>
        </w:rPr>
        <w:t>при котором создан Общественный совет)</w:t>
      </w:r>
    </w:p>
    <w:p w:rsidR="00483CEA" w:rsidRDefault="00483CEA" w:rsidP="00432755">
      <w:pPr>
        <w:pStyle w:val="40"/>
        <w:framePr w:w="10219" w:h="2041" w:hRule="exact" w:wrap="none" w:vAnchor="page" w:hAnchor="page" w:x="1021" w:y="6466"/>
        <w:shd w:val="clear" w:color="auto" w:fill="auto"/>
        <w:spacing w:after="0" w:line="210" w:lineRule="exact"/>
      </w:pPr>
    </w:p>
    <w:p w:rsidR="00432755" w:rsidRDefault="00432755" w:rsidP="00506F85">
      <w:pPr>
        <w:pStyle w:val="30"/>
        <w:framePr w:w="10219" w:h="946" w:hRule="exact" w:wrap="none" w:vAnchor="page" w:hAnchor="page" w:x="1036" w:y="8236"/>
        <w:shd w:val="clear" w:color="auto" w:fill="auto"/>
        <w:spacing w:before="0" w:line="260" w:lineRule="exact"/>
      </w:pPr>
      <w:r>
        <w:t xml:space="preserve"> </w:t>
      </w:r>
    </w:p>
    <w:p w:rsidR="00483CEA" w:rsidRPr="00432755" w:rsidRDefault="00677B2F" w:rsidP="00506F85">
      <w:pPr>
        <w:pStyle w:val="30"/>
        <w:framePr w:w="10219" w:h="946" w:hRule="exact" w:wrap="none" w:vAnchor="page" w:hAnchor="page" w:x="1036" w:y="8236"/>
        <w:shd w:val="clear" w:color="auto" w:fill="auto"/>
        <w:spacing w:before="0" w:line="260" w:lineRule="exact"/>
        <w:rPr>
          <w:sz w:val="28"/>
          <w:szCs w:val="28"/>
        </w:rPr>
      </w:pPr>
      <w:r w:rsidRPr="00432755">
        <w:rPr>
          <w:sz w:val="28"/>
          <w:szCs w:val="28"/>
        </w:rPr>
        <w:t>(далее - Обще</w:t>
      </w:r>
      <w:r w:rsidR="00432755" w:rsidRPr="00432755">
        <w:rPr>
          <w:sz w:val="28"/>
          <w:szCs w:val="28"/>
        </w:rPr>
        <w:t>с</w:t>
      </w:r>
      <w:r w:rsidRPr="00432755">
        <w:rPr>
          <w:sz w:val="28"/>
          <w:szCs w:val="28"/>
        </w:rPr>
        <w:t>твенный совет) независимой оценки качества условий оказания</w:t>
      </w:r>
    </w:p>
    <w:p w:rsidR="00483CEA" w:rsidRDefault="00677B2F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  <w:r w:rsidRPr="00432755">
        <w:rPr>
          <w:sz w:val="28"/>
          <w:szCs w:val="28"/>
        </w:rPr>
        <w:t>услуг организациями в 20</w:t>
      </w:r>
      <w:r w:rsidR="00432755" w:rsidRPr="00432755">
        <w:rPr>
          <w:sz w:val="28"/>
          <w:szCs w:val="28"/>
        </w:rPr>
        <w:t xml:space="preserve">19 </w:t>
      </w:r>
      <w:r w:rsidRPr="00432755">
        <w:rPr>
          <w:sz w:val="28"/>
          <w:szCs w:val="28"/>
        </w:rPr>
        <w:t>году</w:t>
      </w: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506F85" w:rsidRPr="00432755" w:rsidRDefault="00506F85" w:rsidP="00506F85">
      <w:pPr>
        <w:pStyle w:val="30"/>
        <w:framePr w:w="10219" w:h="946" w:hRule="exact" w:wrap="none" w:vAnchor="page" w:hAnchor="page" w:x="1036" w:y="8236"/>
        <w:shd w:val="clear" w:color="auto" w:fill="auto"/>
        <w:tabs>
          <w:tab w:val="left" w:leader="underscore" w:pos="6656"/>
        </w:tabs>
        <w:spacing w:before="0" w:after="302" w:line="260" w:lineRule="exact"/>
        <w:ind w:left="2960"/>
        <w:jc w:val="both"/>
        <w:rPr>
          <w:sz w:val="28"/>
          <w:szCs w:val="28"/>
        </w:rPr>
      </w:pPr>
    </w:p>
    <w:p w:rsidR="00483CEA" w:rsidRPr="00432755" w:rsidRDefault="00677B2F" w:rsidP="00506F85">
      <w:pPr>
        <w:pStyle w:val="20"/>
        <w:framePr w:w="10219" w:h="946" w:hRule="exact" w:wrap="none" w:vAnchor="page" w:hAnchor="page" w:x="1036" w:y="8236"/>
        <w:numPr>
          <w:ilvl w:val="0"/>
          <w:numId w:val="1"/>
        </w:numPr>
        <w:shd w:val="clear" w:color="auto" w:fill="auto"/>
        <w:tabs>
          <w:tab w:val="left" w:pos="4724"/>
        </w:tabs>
        <w:spacing w:after="0" w:line="260" w:lineRule="exact"/>
        <w:ind w:left="4380"/>
        <w:jc w:val="both"/>
        <w:rPr>
          <w:sz w:val="28"/>
          <w:szCs w:val="28"/>
        </w:rPr>
      </w:pPr>
      <w:r w:rsidRPr="00432755">
        <w:rPr>
          <w:sz w:val="28"/>
          <w:szCs w:val="28"/>
        </w:rPr>
        <w:t>Общие сведения</w:t>
      </w:r>
    </w:p>
    <w:p w:rsidR="00506F85" w:rsidRDefault="00506F85" w:rsidP="00506F85">
      <w:pPr>
        <w:pStyle w:val="20"/>
        <w:framePr w:w="10219" w:h="6916" w:hRule="exact" w:wrap="none" w:vAnchor="page" w:hAnchor="page" w:x="841" w:y="9939"/>
        <w:numPr>
          <w:ilvl w:val="0"/>
          <w:numId w:val="2"/>
        </w:numPr>
        <w:shd w:val="clear" w:color="auto" w:fill="auto"/>
        <w:tabs>
          <w:tab w:val="left" w:pos="15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506F85" w:rsidRDefault="00506F85" w:rsidP="00506F85">
      <w:pPr>
        <w:pStyle w:val="20"/>
        <w:framePr w:w="10219" w:h="6916" w:hRule="exact" w:wrap="none" w:vAnchor="page" w:hAnchor="page" w:x="841" w:y="9939"/>
        <w:shd w:val="clear" w:color="auto" w:fill="auto"/>
        <w:tabs>
          <w:tab w:val="left" w:pos="1553"/>
        </w:tabs>
        <w:spacing w:after="0"/>
        <w:ind w:left="900"/>
        <w:jc w:val="both"/>
        <w:rPr>
          <w:sz w:val="28"/>
          <w:szCs w:val="28"/>
        </w:rPr>
      </w:pPr>
    </w:p>
    <w:p w:rsidR="00483CEA" w:rsidRPr="00432755" w:rsidRDefault="00506F85" w:rsidP="00506F85">
      <w:pPr>
        <w:pStyle w:val="20"/>
        <w:framePr w:w="10219" w:h="6916" w:hRule="exact" w:wrap="none" w:vAnchor="page" w:hAnchor="page" w:x="841" w:y="9939"/>
        <w:shd w:val="clear" w:color="auto" w:fill="auto"/>
        <w:tabs>
          <w:tab w:val="left" w:pos="1553"/>
        </w:tabs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77B2F" w:rsidRPr="00432755">
        <w:rPr>
          <w:sz w:val="28"/>
          <w:szCs w:val="28"/>
        </w:rPr>
        <w:t>Объект закупки:</w:t>
      </w:r>
    </w:p>
    <w:p w:rsidR="00483CEA" w:rsidRPr="00432755" w:rsidRDefault="00677B2F" w:rsidP="00506F85">
      <w:pPr>
        <w:pStyle w:val="20"/>
        <w:framePr w:w="10219" w:h="6916" w:hRule="exact" w:wrap="none" w:vAnchor="page" w:hAnchor="page" w:x="841" w:y="9939"/>
        <w:shd w:val="clear" w:color="auto" w:fill="auto"/>
        <w:tabs>
          <w:tab w:val="left" w:leader="underscore" w:pos="5275"/>
        </w:tabs>
        <w:spacing w:after="0"/>
        <w:ind w:firstLine="800"/>
        <w:jc w:val="both"/>
        <w:rPr>
          <w:sz w:val="28"/>
          <w:szCs w:val="28"/>
        </w:rPr>
      </w:pPr>
      <w:r w:rsidRPr="00432755">
        <w:rPr>
          <w:sz w:val="28"/>
          <w:szCs w:val="28"/>
        </w:rPr>
        <w:t>Оказание услуг по сбору и обобщению информации о качестве условий оказания услуг организациям</w:t>
      </w:r>
      <w:r w:rsidR="00432755" w:rsidRPr="00432755">
        <w:rPr>
          <w:sz w:val="28"/>
          <w:szCs w:val="28"/>
        </w:rPr>
        <w:t>и. оказывающими услуги в сфере</w:t>
      </w:r>
      <w:r w:rsidR="00432755" w:rsidRPr="00432755">
        <w:rPr>
          <w:sz w:val="28"/>
          <w:szCs w:val="28"/>
        </w:rPr>
        <w:tab/>
        <w:t>образования и культуры</w:t>
      </w:r>
      <w:r w:rsidRPr="00432755">
        <w:rPr>
          <w:sz w:val="28"/>
          <w:szCs w:val="28"/>
        </w:rPr>
        <w:t>, перечисленными</w:t>
      </w:r>
      <w:r w:rsidR="00432755" w:rsidRPr="00432755">
        <w:rPr>
          <w:sz w:val="28"/>
          <w:szCs w:val="28"/>
        </w:rPr>
        <w:t xml:space="preserve"> </w:t>
      </w:r>
      <w:r w:rsidRPr="00432755">
        <w:rPr>
          <w:sz w:val="28"/>
          <w:szCs w:val="28"/>
        </w:rPr>
        <w:t>в приложении к настоящему  техническому заданию, для проведения Общественным советом независимой оценки качества условий оказания услуг в</w:t>
      </w:r>
      <w:r w:rsidR="00432755">
        <w:rPr>
          <w:sz w:val="28"/>
          <w:szCs w:val="28"/>
        </w:rPr>
        <w:t xml:space="preserve"> </w:t>
      </w:r>
      <w:r w:rsidRPr="00432755">
        <w:rPr>
          <w:sz w:val="28"/>
          <w:szCs w:val="28"/>
        </w:rPr>
        <w:t>20</w:t>
      </w:r>
      <w:r w:rsidR="00432755" w:rsidRPr="00432755">
        <w:rPr>
          <w:sz w:val="28"/>
          <w:szCs w:val="28"/>
        </w:rPr>
        <w:t xml:space="preserve">19 </w:t>
      </w:r>
      <w:r w:rsidRPr="00432755">
        <w:rPr>
          <w:sz w:val="28"/>
          <w:szCs w:val="28"/>
        </w:rPr>
        <w:t>году (далее - услуга) в соответствии с требованиями Федерального закона от</w:t>
      </w:r>
      <w:r w:rsidR="00432755">
        <w:rPr>
          <w:sz w:val="28"/>
          <w:szCs w:val="28"/>
        </w:rPr>
        <w:t xml:space="preserve"> </w:t>
      </w:r>
      <w:r w:rsidRPr="00432755">
        <w:rPr>
          <w:sz w:val="28"/>
          <w:szCs w:val="28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иными нормативными правовыми актами.</w:t>
      </w:r>
    </w:p>
    <w:p w:rsidR="00483CEA" w:rsidRPr="00432755" w:rsidRDefault="00677B2F" w:rsidP="00506F85">
      <w:pPr>
        <w:pStyle w:val="20"/>
        <w:framePr w:w="10219" w:h="6916" w:hRule="exact" w:wrap="none" w:vAnchor="page" w:hAnchor="page" w:x="841" w:y="9939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17" w:lineRule="exact"/>
        <w:ind w:left="900"/>
        <w:jc w:val="both"/>
        <w:rPr>
          <w:sz w:val="28"/>
          <w:szCs w:val="28"/>
        </w:rPr>
      </w:pPr>
      <w:r w:rsidRPr="00432755">
        <w:rPr>
          <w:sz w:val="28"/>
          <w:szCs w:val="28"/>
        </w:rPr>
        <w:t>Требования к Исполнителю:</w:t>
      </w:r>
    </w:p>
    <w:p w:rsidR="00483CEA" w:rsidRPr="00432755" w:rsidRDefault="00677B2F" w:rsidP="00506F85">
      <w:pPr>
        <w:pStyle w:val="20"/>
        <w:framePr w:w="10219" w:h="6916" w:hRule="exact" w:wrap="none" w:vAnchor="page" w:hAnchor="page" w:x="841" w:y="9939"/>
        <w:shd w:val="clear" w:color="auto" w:fill="auto"/>
        <w:spacing w:after="0" w:line="317" w:lineRule="exact"/>
        <w:ind w:left="900"/>
        <w:jc w:val="both"/>
        <w:rPr>
          <w:sz w:val="28"/>
          <w:szCs w:val="28"/>
        </w:rPr>
      </w:pPr>
      <w:r w:rsidRPr="00432755">
        <w:rPr>
          <w:sz w:val="28"/>
          <w:szCs w:val="28"/>
        </w:rPr>
        <w:t>Исполнителем не могут являться государственные и муниципальные</w:t>
      </w:r>
    </w:p>
    <w:p w:rsidR="00937A9D" w:rsidRDefault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937A9D" w:rsidRDefault="00937A9D" w:rsidP="00937A9D">
      <w:pPr>
        <w:rPr>
          <w:sz w:val="2"/>
          <w:szCs w:val="2"/>
        </w:rPr>
      </w:pPr>
    </w:p>
    <w:p w:rsidR="00937A9D" w:rsidRPr="007B4D7C" w:rsidRDefault="00937A9D" w:rsidP="00937A9D">
      <w:pPr>
        <w:rPr>
          <w:sz w:val="30"/>
          <w:szCs w:val="30"/>
        </w:rPr>
      </w:pPr>
    </w:p>
    <w:p w:rsidR="00937A9D" w:rsidRPr="007B4D7C" w:rsidRDefault="00937A9D" w:rsidP="00937A9D">
      <w:pPr>
        <w:rPr>
          <w:sz w:val="30"/>
          <w:szCs w:val="30"/>
        </w:rPr>
      </w:pPr>
    </w:p>
    <w:p w:rsidR="007B4D7C" w:rsidRPr="007B4D7C" w:rsidRDefault="007B4D7C" w:rsidP="007B4D7C">
      <w:pPr>
        <w:jc w:val="right"/>
        <w:rPr>
          <w:rFonts w:ascii="Times New Roman" w:hAnsi="Times New Roman" w:cs="Times New Roman"/>
          <w:sz w:val="30"/>
          <w:szCs w:val="30"/>
        </w:rPr>
      </w:pPr>
      <w:r w:rsidRPr="007B4D7C">
        <w:rPr>
          <w:rFonts w:ascii="Times New Roman" w:hAnsi="Times New Roman" w:cs="Times New Roman"/>
          <w:sz w:val="30"/>
          <w:szCs w:val="30"/>
        </w:rPr>
        <w:t xml:space="preserve">Приложение к договору </w:t>
      </w:r>
    </w:p>
    <w:p w:rsidR="00483CEA" w:rsidRPr="007B4D7C" w:rsidRDefault="007B4D7C" w:rsidP="007B4D7C">
      <w:pPr>
        <w:jc w:val="right"/>
        <w:rPr>
          <w:sz w:val="30"/>
          <w:szCs w:val="30"/>
        </w:rPr>
        <w:sectPr w:rsidR="00483CEA" w:rsidRPr="007B4D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7B4D7C">
        <w:rPr>
          <w:rFonts w:ascii="Times New Roman" w:hAnsi="Times New Roman" w:cs="Times New Roman"/>
          <w:sz w:val="30"/>
          <w:szCs w:val="30"/>
        </w:rPr>
        <w:t>№4 от    июня 2019 г.</w:t>
      </w:r>
    </w:p>
    <w:p w:rsidR="00483CEA" w:rsidRDefault="00677B2F">
      <w:pPr>
        <w:pStyle w:val="20"/>
        <w:framePr w:w="10219" w:h="2990" w:hRule="exact" w:wrap="none" w:vAnchor="page" w:hAnchor="page" w:x="1000" w:y="1168"/>
        <w:shd w:val="clear" w:color="auto" w:fill="auto"/>
        <w:spacing w:after="0" w:line="326" w:lineRule="exact"/>
        <w:ind w:left="460" w:right="180"/>
        <w:jc w:val="both"/>
      </w:pPr>
      <w:r>
        <w:lastRenderedPageBreak/>
        <w:t>организации, оказывающие гражданам услуги в сфере культуры, охраны здоровья, образования, социального обслуживания, и федеральные учреждения медико-социальной экспертизы, а также негосударственные организации, оказывающие гражданам услуги в указанных сферах за счет средств бюджетов бюджетной системы Российской Федерации.</w:t>
      </w:r>
    </w:p>
    <w:p w:rsidR="00A80882" w:rsidRPr="004B58E0" w:rsidRDefault="00677B2F" w:rsidP="00A80882">
      <w:pPr>
        <w:framePr w:w="10219" w:h="2990" w:hRule="exact" w:wrap="none" w:vAnchor="page" w:hAnchor="page" w:x="1000" w:y="1168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t>Источник финансирования:</w:t>
      </w:r>
      <w:r w:rsidR="00A80882" w:rsidRPr="00A80882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A80882" w:rsidRPr="00A808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бюджет </w:t>
      </w:r>
      <w:r w:rsidR="00A80882" w:rsidRPr="00A80882">
        <w:rPr>
          <w:rFonts w:ascii="Times New Roman" w:eastAsia="Arial Unicode MS" w:hAnsi="Times New Roman" w:cs="Times New Roman"/>
          <w:sz w:val="28"/>
          <w:szCs w:val="28"/>
          <w:lang w:val="ru"/>
        </w:rPr>
        <w:t>Администрации МР «Левашинский район»</w:t>
      </w:r>
    </w:p>
    <w:p w:rsidR="00483CEA" w:rsidRDefault="00677B2F" w:rsidP="00A80882">
      <w:pPr>
        <w:pStyle w:val="20"/>
        <w:framePr w:w="10219" w:h="2990" w:hRule="exact" w:wrap="none" w:vAnchor="page" w:hAnchor="page" w:x="1000" w:y="1168"/>
        <w:shd w:val="clear" w:color="auto" w:fill="auto"/>
        <w:tabs>
          <w:tab w:val="left" w:leader="underscore" w:pos="8206"/>
          <w:tab w:val="left" w:leader="underscore" w:pos="9917"/>
        </w:tabs>
        <w:spacing w:after="0" w:line="326" w:lineRule="exact"/>
        <w:ind w:left="1160"/>
        <w:jc w:val="both"/>
      </w:pPr>
      <w:r>
        <w:t xml:space="preserve"> Территория оказания услуги:</w:t>
      </w:r>
      <w:r w:rsidR="00A80882" w:rsidRPr="00A80882">
        <w:rPr>
          <w:rFonts w:eastAsia="Arial Unicode MS"/>
          <w:sz w:val="28"/>
          <w:szCs w:val="28"/>
          <w:lang w:val="ru"/>
        </w:rPr>
        <w:t xml:space="preserve"> </w:t>
      </w:r>
      <w:r w:rsidR="00A80882" w:rsidRPr="00A80882">
        <w:rPr>
          <w:rFonts w:eastAsia="Arial Unicode MS"/>
          <w:sz w:val="28"/>
          <w:szCs w:val="28"/>
          <w:lang w:val="ru"/>
        </w:rPr>
        <w:t>Левашинский район</w:t>
      </w:r>
      <w:r>
        <w:t>.</w:t>
      </w:r>
    </w:p>
    <w:p w:rsidR="00483CEA" w:rsidRDefault="00677B2F" w:rsidP="00506F85">
      <w:pPr>
        <w:pStyle w:val="20"/>
        <w:framePr w:w="10219" w:h="2990" w:hRule="exact" w:wrap="none" w:vAnchor="page" w:hAnchor="page" w:x="1000" w:y="1168"/>
        <w:numPr>
          <w:ilvl w:val="1"/>
          <w:numId w:val="3"/>
        </w:numPr>
        <w:shd w:val="clear" w:color="auto" w:fill="auto"/>
        <w:tabs>
          <w:tab w:val="left" w:pos="1877"/>
        </w:tabs>
        <w:spacing w:after="0" w:line="326" w:lineRule="exact"/>
        <w:ind w:left="460" w:firstLine="700"/>
        <w:jc w:val="both"/>
      </w:pPr>
      <w:r>
        <w:t>Срок оказания услуги: с даты заключения Государственного</w:t>
      </w:r>
    </w:p>
    <w:p w:rsidR="00483CEA" w:rsidRDefault="00677B2F">
      <w:pPr>
        <w:pStyle w:val="20"/>
        <w:framePr w:w="10219" w:h="2990" w:hRule="exact" w:wrap="none" w:vAnchor="page" w:hAnchor="page" w:x="1000" w:y="1168"/>
        <w:shd w:val="clear" w:color="auto" w:fill="auto"/>
        <w:tabs>
          <w:tab w:val="left" w:leader="underscore" w:pos="6151"/>
          <w:tab w:val="left" w:leader="underscore" w:pos="7881"/>
          <w:tab w:val="left" w:leader="underscore" w:pos="8577"/>
        </w:tabs>
        <w:spacing w:after="0" w:line="326" w:lineRule="exact"/>
        <w:ind w:left="460"/>
        <w:jc w:val="both"/>
      </w:pPr>
      <w:r>
        <w:t>(муниципального) контракта (договора) до «</w:t>
      </w:r>
      <w:r>
        <w:tab/>
        <w:t>»</w:t>
      </w:r>
      <w:r>
        <w:tab/>
        <w:t>20</w:t>
      </w:r>
      <w:r>
        <w:tab/>
        <w:t>года.</w:t>
      </w:r>
    </w:p>
    <w:p w:rsidR="00483CEA" w:rsidRDefault="00677B2F" w:rsidP="00506F85">
      <w:pPr>
        <w:pStyle w:val="20"/>
        <w:framePr w:w="10219" w:h="11248" w:hRule="exact" w:wrap="none" w:vAnchor="page" w:hAnchor="page" w:x="1000" w:y="4480"/>
        <w:numPr>
          <w:ilvl w:val="0"/>
          <w:numId w:val="3"/>
        </w:numPr>
        <w:shd w:val="clear" w:color="auto" w:fill="auto"/>
        <w:tabs>
          <w:tab w:val="left" w:pos="4085"/>
        </w:tabs>
        <w:spacing w:after="303" w:line="260" w:lineRule="exact"/>
        <w:ind w:left="3660"/>
        <w:jc w:val="both"/>
      </w:pPr>
      <w:r>
        <w:t>Цель и задачи закупки</w:t>
      </w:r>
    </w:p>
    <w:p w:rsidR="00483CEA" w:rsidRDefault="00677B2F" w:rsidP="00506F85">
      <w:pPr>
        <w:pStyle w:val="20"/>
        <w:framePr w:w="10219" w:h="11248" w:hRule="exact" w:wrap="none" w:vAnchor="page" w:hAnchor="page" w:x="1000" w:y="4480"/>
        <w:numPr>
          <w:ilvl w:val="1"/>
          <w:numId w:val="3"/>
        </w:numPr>
        <w:shd w:val="clear" w:color="auto" w:fill="auto"/>
        <w:tabs>
          <w:tab w:val="left" w:pos="1877"/>
        </w:tabs>
        <w:spacing w:after="0"/>
        <w:ind w:left="460" w:right="180" w:firstLine="700"/>
        <w:jc w:val="both"/>
      </w:pPr>
      <w:r>
        <w:t>Целью закупки является формирование проектов оценки качества условий оказания услуг организациями и разработка предложений по улучшению их деятельности.</w:t>
      </w:r>
    </w:p>
    <w:p w:rsidR="00483CEA" w:rsidRDefault="00677B2F" w:rsidP="00506F85">
      <w:pPr>
        <w:pStyle w:val="20"/>
        <w:framePr w:w="10219" w:h="11248" w:hRule="exact" w:wrap="none" w:vAnchor="page" w:hAnchor="page" w:x="1000" w:y="4480"/>
        <w:numPr>
          <w:ilvl w:val="1"/>
          <w:numId w:val="3"/>
        </w:numPr>
        <w:shd w:val="clear" w:color="auto" w:fill="auto"/>
        <w:tabs>
          <w:tab w:val="left" w:pos="1877"/>
        </w:tabs>
        <w:spacing w:after="0"/>
        <w:ind w:left="460" w:firstLine="700"/>
        <w:jc w:val="both"/>
      </w:pPr>
      <w:r>
        <w:t>Задачами закупки являются: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spacing w:after="0"/>
        <w:ind w:left="460" w:right="180" w:firstLine="700"/>
        <w:jc w:val="both"/>
      </w:pPr>
      <w:r>
        <w:t xml:space="preserve">получение данных о качестве условий оказания услуг организациями, перечисленными в приложении к </w:t>
      </w:r>
      <w:r w:rsidR="00E50124">
        <w:t>настоящему техническому</w:t>
      </w:r>
      <w:r>
        <w:t xml:space="preserve"> заданию, а также отраслевыми перечнями показателей, характеризующих общие критерии оценки качества условий оказания услуг, утвержденными </w:t>
      </w:r>
      <w:r w:rsidR="00506F85">
        <w:t>федеральными органами исполнительной власти</w:t>
      </w:r>
      <w:r>
        <w:t>;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tabs>
          <w:tab w:val="left" w:leader="underscore" w:pos="6151"/>
          <w:tab w:val="left" w:leader="underscore" w:pos="6360"/>
          <w:tab w:val="left" w:leader="underscore" w:pos="9917"/>
        </w:tabs>
        <w:spacing w:after="0"/>
        <w:ind w:left="460" w:right="180" w:firstLine="700"/>
        <w:jc w:val="both"/>
      </w:pPr>
      <w:r>
        <w:t xml:space="preserve">обобщение полученных результатов, построение на их основе рейтингов организаций в </w:t>
      </w:r>
      <w:r w:rsidRPr="00506F85">
        <w:rPr>
          <w:u w:val="single"/>
        </w:rPr>
        <w:t>сфере</w:t>
      </w:r>
      <w:r w:rsidR="00506F85" w:rsidRPr="00506F85">
        <w:rPr>
          <w:u w:val="single"/>
        </w:rPr>
        <w:t xml:space="preserve"> </w:t>
      </w:r>
      <w:r w:rsidR="00506F85" w:rsidRPr="00506F85">
        <w:rPr>
          <w:u w:val="single"/>
        </w:rPr>
        <w:t>образования и культуры</w:t>
      </w:r>
      <w:r>
        <w:t>.</w:t>
      </w:r>
    </w:p>
    <w:p w:rsidR="00483CEA" w:rsidRDefault="00506F85" w:rsidP="00506F85">
      <w:pPr>
        <w:pStyle w:val="50"/>
        <w:framePr w:w="10219" w:h="11248" w:hRule="exact" w:wrap="none" w:vAnchor="page" w:hAnchor="page" w:x="1000" w:y="4480"/>
        <w:shd w:val="clear" w:color="auto" w:fill="auto"/>
        <w:spacing w:after="188" w:line="180" w:lineRule="exact"/>
      </w:pPr>
      <w:r>
        <w:t xml:space="preserve">                                               </w:t>
      </w:r>
      <w:r w:rsidR="00677B2F">
        <w:t>(указывается сфера деятельности организации)</w:t>
      </w:r>
    </w:p>
    <w:p w:rsidR="00483CEA" w:rsidRDefault="00677B2F" w:rsidP="00506F85">
      <w:pPr>
        <w:pStyle w:val="20"/>
        <w:framePr w:w="10219" w:h="11248" w:hRule="exact" w:wrap="none" w:vAnchor="page" w:hAnchor="page" w:x="1000" w:y="4480"/>
        <w:numPr>
          <w:ilvl w:val="0"/>
          <w:numId w:val="3"/>
        </w:numPr>
        <w:shd w:val="clear" w:color="auto" w:fill="auto"/>
        <w:tabs>
          <w:tab w:val="left" w:pos="4085"/>
        </w:tabs>
        <w:spacing w:after="357" w:line="260" w:lineRule="exact"/>
        <w:ind w:left="3660"/>
        <w:jc w:val="both"/>
      </w:pPr>
      <w:r>
        <w:t>Перечень и объем услуг</w:t>
      </w:r>
    </w:p>
    <w:p w:rsidR="00483CEA" w:rsidRDefault="00677B2F" w:rsidP="00506F85">
      <w:pPr>
        <w:pStyle w:val="20"/>
        <w:framePr w:w="10219" w:h="11248" w:hRule="exact" w:wrap="none" w:vAnchor="page" w:hAnchor="page" w:x="1000" w:y="4480"/>
        <w:numPr>
          <w:ilvl w:val="1"/>
          <w:numId w:val="3"/>
        </w:numPr>
        <w:shd w:val="clear" w:color="auto" w:fill="auto"/>
        <w:tabs>
          <w:tab w:val="left" w:pos="1877"/>
          <w:tab w:val="left" w:leader="underscore" w:pos="9536"/>
          <w:tab w:val="left" w:leader="underscore" w:pos="9671"/>
        </w:tabs>
        <w:spacing w:after="0" w:line="260" w:lineRule="exact"/>
        <w:ind w:left="460" w:firstLine="700"/>
        <w:jc w:val="both"/>
      </w:pPr>
      <w:r>
        <w:t>Перечень организаций в сфере</w:t>
      </w:r>
      <w:r w:rsidR="00506F85">
        <w:t xml:space="preserve"> </w:t>
      </w:r>
      <w:r w:rsidR="00506F85" w:rsidRPr="00506F85">
        <w:rPr>
          <w:u w:val="single"/>
        </w:rPr>
        <w:t>образования и культуры</w:t>
      </w:r>
      <w:r>
        <w:tab/>
      </w:r>
      <w:r>
        <w:tab/>
      </w:r>
    </w:p>
    <w:p w:rsidR="00483CEA" w:rsidRDefault="00506F85" w:rsidP="00506F85">
      <w:pPr>
        <w:pStyle w:val="50"/>
        <w:framePr w:w="10219" w:h="11248" w:hRule="exact" w:wrap="none" w:vAnchor="page" w:hAnchor="page" w:x="1000" w:y="4480"/>
        <w:shd w:val="clear" w:color="auto" w:fill="auto"/>
        <w:spacing w:after="0" w:line="317" w:lineRule="exact"/>
      </w:pPr>
      <w:r>
        <w:t xml:space="preserve">                                                                                                              </w:t>
      </w:r>
      <w:r w:rsidR="00677B2F">
        <w:t>(укатывается сфера деятельности организации)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spacing w:after="0" w:line="317" w:lineRule="exact"/>
        <w:ind w:left="460"/>
        <w:jc w:val="both"/>
      </w:pPr>
      <w:r>
        <w:t>в отношении которых проводится независимая оценка качества условий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tabs>
          <w:tab w:val="left" w:leader="underscore" w:pos="3191"/>
        </w:tabs>
        <w:spacing w:after="0" w:line="317" w:lineRule="exact"/>
        <w:ind w:left="460"/>
        <w:jc w:val="both"/>
      </w:pPr>
      <w:r>
        <w:t>оказания услуг в 20</w:t>
      </w:r>
      <w:r w:rsidR="00A80882">
        <w:t xml:space="preserve">19 </w:t>
      </w:r>
      <w:r>
        <w:t xml:space="preserve">году, приведен в приложении к настоящему </w:t>
      </w:r>
    </w:p>
    <w:p w:rsidR="00483CEA" w:rsidRDefault="00506F85">
      <w:pPr>
        <w:pStyle w:val="20"/>
        <w:framePr w:w="10219" w:h="11248" w:hRule="exact" w:wrap="none" w:vAnchor="page" w:hAnchor="page" w:x="1000" w:y="4480"/>
        <w:shd w:val="clear" w:color="auto" w:fill="auto"/>
        <w:spacing w:after="0" w:line="317" w:lineRule="exact"/>
        <w:ind w:left="460"/>
        <w:jc w:val="both"/>
      </w:pPr>
      <w:r>
        <w:t>техническому заданию</w:t>
      </w:r>
      <w:r w:rsidR="00677B2F">
        <w:t>.</w:t>
      </w:r>
    </w:p>
    <w:p w:rsidR="00483CEA" w:rsidRDefault="00677B2F" w:rsidP="00506F85">
      <w:pPr>
        <w:pStyle w:val="20"/>
        <w:framePr w:w="10219" w:h="11248" w:hRule="exact" w:wrap="none" w:vAnchor="page" w:hAnchor="page" w:x="1000" w:y="4480"/>
        <w:numPr>
          <w:ilvl w:val="1"/>
          <w:numId w:val="3"/>
        </w:numPr>
        <w:shd w:val="clear" w:color="auto" w:fill="auto"/>
        <w:tabs>
          <w:tab w:val="left" w:pos="1877"/>
        </w:tabs>
        <w:spacing w:after="0" w:line="317" w:lineRule="exact"/>
        <w:ind w:left="460" w:firstLine="700"/>
        <w:jc w:val="both"/>
      </w:pPr>
      <w:r>
        <w:t>В соответствии с настоящим Примерным техническим заданием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spacing w:after="0" w:line="317" w:lineRule="exact"/>
        <w:ind w:left="460"/>
        <w:jc w:val="both"/>
      </w:pPr>
      <w:r>
        <w:t>необходимо: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spacing w:after="0" w:line="317" w:lineRule="exact"/>
        <w:ind w:left="460" w:right="180" w:firstLine="700"/>
        <w:jc w:val="both"/>
      </w:pPr>
      <w:r>
        <w:t xml:space="preserve">осуществить выездные мероприятия в каждую организацию, указанную в приложении к </w:t>
      </w:r>
      <w:r w:rsidR="00A80882">
        <w:t>настоящему техническому</w:t>
      </w:r>
      <w:r>
        <w:t xml:space="preserve"> заданию, с целью получения визуальных и иных данных о комфортности условий предоставления социальных услуг и доступности их получения, обеспечении доступности для инвалидов и маломобильных граждан помещений указанных организаций, прилегающих территорий и предоставляемых услуг;</w:t>
      </w:r>
    </w:p>
    <w:p w:rsidR="00483CEA" w:rsidRDefault="00677B2F">
      <w:pPr>
        <w:pStyle w:val="20"/>
        <w:framePr w:w="10219" w:h="11248" w:hRule="exact" w:wrap="none" w:vAnchor="page" w:hAnchor="page" w:x="1000" w:y="4480"/>
        <w:shd w:val="clear" w:color="auto" w:fill="auto"/>
        <w:spacing w:after="0" w:line="317" w:lineRule="exact"/>
        <w:ind w:left="460" w:right="180" w:firstLine="700"/>
        <w:jc w:val="both"/>
      </w:pPr>
      <w:r>
        <w:t xml:space="preserve">провести анкетирование (опрос) получателей социальных услуг в объеме 40 проц. от объема генеральной совокупности, но не более 600 респондентов в одной организации, в соответствии с требованиями, утвержденными приказом Министерства труда и социальной защиты Российской Федерации от 30 октября 2013 г. № 675н «Об утверждении Методики выявления и </w:t>
      </w:r>
      <w:r w:rsidR="00F706F7">
        <w:t>обобщения мнения</w:t>
      </w:r>
      <w:r>
        <w:t xml:space="preserve"> граждан о качестве условий </w:t>
      </w:r>
      <w:r w:rsidR="00F706F7">
        <w:t xml:space="preserve">  </w:t>
      </w:r>
      <w:r>
        <w:t xml:space="preserve">оказания </w:t>
      </w:r>
      <w:r w:rsidR="00F706F7">
        <w:t xml:space="preserve">   </w:t>
      </w:r>
      <w:r w:rsidR="00F706F7">
        <w:rPr>
          <w:lang w:eastAsia="en-US" w:bidi="en-US"/>
        </w:rPr>
        <w:t>услуг</w:t>
      </w:r>
      <w:r w:rsidRPr="00800D7B">
        <w:rPr>
          <w:lang w:eastAsia="en-US" w:bidi="en-US"/>
        </w:rPr>
        <w:t xml:space="preserve"> </w:t>
      </w:r>
      <w:r w:rsidR="00F706F7">
        <w:rPr>
          <w:lang w:eastAsia="en-US" w:bidi="en-US"/>
        </w:rPr>
        <w:t xml:space="preserve">   </w:t>
      </w:r>
      <w:r>
        <w:t xml:space="preserve">организациями </w:t>
      </w:r>
      <w:r w:rsidR="00F706F7">
        <w:t xml:space="preserve">   </w:t>
      </w:r>
      <w:r>
        <w:t>в</w:t>
      </w:r>
      <w:r w:rsidR="00F706F7">
        <w:t xml:space="preserve"> </w:t>
      </w:r>
      <w:r>
        <w:t xml:space="preserve"> </w:t>
      </w:r>
      <w:r w:rsidR="00F706F7">
        <w:t xml:space="preserve">  </w:t>
      </w:r>
      <w:r>
        <w:t xml:space="preserve">сфере </w:t>
      </w:r>
      <w:r w:rsidR="00F706F7">
        <w:t xml:space="preserve">   </w:t>
      </w:r>
      <w:r>
        <w:t>культуры,</w:t>
      </w:r>
    </w:p>
    <w:p w:rsidR="00483CEA" w:rsidRDefault="00483CEA">
      <w:pPr>
        <w:rPr>
          <w:sz w:val="2"/>
          <w:szCs w:val="2"/>
        </w:rPr>
        <w:sectPr w:rsidR="00483C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60" w:right="180"/>
        <w:jc w:val="both"/>
      </w:pPr>
      <w:r>
        <w:lastRenderedPageBreak/>
        <w:t>охраны здоровья, образования, социально</w:t>
      </w:r>
      <w:r w:rsidR="00F706F7">
        <w:t xml:space="preserve">го </w:t>
      </w:r>
      <w:r>
        <w:t>обслуживания и федеральными учреждениями медико-социальной экспертизы»;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оценить работу каждой организации в соответствии с показателями, характеризующими общие критерии оценки качества условий оказания услуг организациями;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осуществлять расчет показателей, характеризующих общие критерии оценки качества условий оказания услуг.</w:t>
      </w:r>
    </w:p>
    <w:p w:rsidR="00483CEA" w:rsidRDefault="00677B2F" w:rsidP="00506F85">
      <w:pPr>
        <w:pStyle w:val="20"/>
        <w:framePr w:w="10219" w:h="14583" w:hRule="exact" w:wrap="none" w:vAnchor="page" w:hAnchor="page" w:x="1000" w:y="1186"/>
        <w:numPr>
          <w:ilvl w:val="1"/>
          <w:numId w:val="3"/>
        </w:numPr>
        <w:shd w:val="clear" w:color="auto" w:fill="auto"/>
        <w:tabs>
          <w:tab w:val="left" w:pos="1699"/>
          <w:tab w:val="left" w:pos="2774"/>
          <w:tab w:val="left" w:pos="4872"/>
          <w:tab w:val="left" w:pos="6638"/>
          <w:tab w:val="left" w:pos="7656"/>
          <w:tab w:val="left" w:pos="9965"/>
        </w:tabs>
        <w:spacing w:after="0"/>
        <w:ind w:left="480" w:right="160" w:firstLine="680"/>
        <w:jc w:val="both"/>
      </w:pPr>
      <w:r>
        <w:t>Исполнитель представляет Заказчику аналитический отчет о выполненной работе по сбору и обобщению информации о качестве условий оказания услуг по каждой организации (далее - аналитический отчет) в виде презентационных материалов на бумажном носителе, с приложением расчета показателей, характеризующих общие критерии оценки качества в соответствии с приказом Министерства груда и социальной защиты Российской Федерации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а также в электронном виде в формате, обеспечивающем возможность дальнейшей</w:t>
      </w:r>
      <w:r>
        <w:tab/>
        <w:t>обработки</w:t>
      </w:r>
      <w:r>
        <w:tab/>
        <w:t>данных</w:t>
      </w:r>
      <w:r>
        <w:tab/>
        <w:t>и</w:t>
      </w:r>
      <w:r>
        <w:tab/>
        <w:t>размещения</w:t>
      </w:r>
      <w:r>
        <w:tab/>
        <w:t>в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/>
        <w:jc w:val="both"/>
      </w:pPr>
      <w:r>
        <w:t>информационно-телекоммуникационной сети «Интернет».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firstLine="680"/>
        <w:jc w:val="both"/>
      </w:pPr>
      <w:r>
        <w:t>Аналитический отчет должен содержать: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перечень организаций, в отношении которых проводились сбор и обобщение информации о качестве условий оказания услуг;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рейтинг организаций, а также описание факторов, определяющих рейтинговую позицию, описание методики формирования рейтингов, интерпретация рейтингов;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результаты обобщения информации, размещенной на официальных сайтах организаций и информационных стендах в помещениях указанных организаций;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tabs>
          <w:tab w:val="left" w:pos="4090"/>
        </w:tabs>
        <w:spacing w:after="0"/>
        <w:ind w:left="480" w:right="160" w:firstLine="680"/>
        <w:jc w:val="both"/>
      </w:pPr>
      <w:r>
        <w:t>значения по каждом) показателю, характеризующему общие критерии оценки качества условий оказания услуг организациями (в баллах), рассчитанные в соответствии с единым порядком расчета показателей, характеризующим общие</w:t>
      </w:r>
      <w:r>
        <w:tab/>
        <w:t>критерии оценки, утвержденным приказом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/>
        <w:jc w:val="both"/>
      </w:pPr>
      <w:r>
        <w:t>Министерства труда и социальной зашиты Российс</w:t>
      </w:r>
      <w:r w:rsidR="00F706F7">
        <w:t>кой Федерации от 31 мая 2018 г.</w:t>
      </w:r>
      <w:r w:rsidRPr="00800D7B">
        <w:rPr>
          <w:lang w:eastAsia="en-US" w:bidi="en-US"/>
        </w:rPr>
        <w:t xml:space="preserve"> </w:t>
      </w:r>
      <w:r w:rsidR="00F706F7">
        <w:rPr>
          <w:lang w:eastAsia="en-US" w:bidi="en-US"/>
        </w:rPr>
        <w:t xml:space="preserve">№ </w:t>
      </w:r>
      <w:r>
        <w:t>344</w:t>
      </w:r>
      <w:r w:rsidR="00F706F7">
        <w:t xml:space="preserve"> </w:t>
      </w:r>
      <w:r>
        <w:t>и «Об утверждении единою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483CEA" w:rsidRDefault="00677B2F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left="480" w:right="160" w:firstLine="680"/>
        <w:jc w:val="both"/>
      </w:pPr>
      <w:r>
        <w:t>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483CEA" w:rsidRDefault="00677B2F" w:rsidP="00F706F7">
      <w:pPr>
        <w:pStyle w:val="20"/>
        <w:framePr w:w="10219" w:h="14583" w:hRule="exact" w:wrap="none" w:vAnchor="page" w:hAnchor="page" w:x="1000" w:y="1186"/>
        <w:shd w:val="clear" w:color="auto" w:fill="auto"/>
        <w:spacing w:after="0"/>
        <w:ind w:right="160"/>
        <w:jc w:val="both"/>
      </w:pPr>
      <w:r>
        <w:t>выводы и предложения по совершенствова</w:t>
      </w:r>
      <w:r w:rsidR="00F706F7">
        <w:t xml:space="preserve">нию деятельности организаций. В </w:t>
      </w:r>
      <w:r>
        <w:t>случае возникновения содержательных и технических замечаний Заказчик впра</w:t>
      </w:r>
      <w:r w:rsidR="00F706F7">
        <w:t xml:space="preserve">ве потребовать от </w:t>
      </w:r>
      <w:r>
        <w:t>Исполнителя доработки аналитического отчета.</w:t>
      </w:r>
    </w:p>
    <w:p w:rsidR="00483CEA" w:rsidRDefault="00483CEA">
      <w:pPr>
        <w:rPr>
          <w:sz w:val="2"/>
          <w:szCs w:val="2"/>
        </w:rPr>
        <w:sectPr w:rsidR="00483C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3CEA" w:rsidRDefault="00677B2F">
      <w:pPr>
        <w:pStyle w:val="a5"/>
        <w:framePr w:wrap="none" w:vAnchor="page" w:hAnchor="page" w:x="6184" w:y="532"/>
        <w:shd w:val="clear" w:color="auto" w:fill="auto"/>
        <w:spacing w:line="220" w:lineRule="exact"/>
      </w:pPr>
      <w:r>
        <w:lastRenderedPageBreak/>
        <w:t>4</w:t>
      </w:r>
    </w:p>
    <w:p w:rsidR="00483CEA" w:rsidRDefault="00677B2F" w:rsidP="00E50124">
      <w:pPr>
        <w:pStyle w:val="20"/>
        <w:framePr w:w="10219" w:h="4921" w:hRule="exact" w:wrap="none" w:vAnchor="page" w:hAnchor="page" w:x="1000" w:y="1605"/>
        <w:numPr>
          <w:ilvl w:val="0"/>
          <w:numId w:val="3"/>
        </w:numPr>
        <w:shd w:val="clear" w:color="auto" w:fill="auto"/>
        <w:tabs>
          <w:tab w:val="left" w:pos="4642"/>
        </w:tabs>
        <w:spacing w:after="309" w:line="260" w:lineRule="exact"/>
        <w:ind w:left="4220" w:right="130"/>
        <w:jc w:val="both"/>
      </w:pPr>
      <w:r>
        <w:t>Иные условия</w:t>
      </w:r>
    </w:p>
    <w:p w:rsidR="00483CEA" w:rsidRDefault="00677B2F" w:rsidP="00E50124">
      <w:pPr>
        <w:pStyle w:val="20"/>
        <w:framePr w:w="10219" w:h="4921" w:hRule="exact" w:wrap="none" w:vAnchor="page" w:hAnchor="page" w:x="1000" w:y="1605"/>
        <w:numPr>
          <w:ilvl w:val="1"/>
          <w:numId w:val="3"/>
        </w:numPr>
        <w:shd w:val="clear" w:color="auto" w:fill="auto"/>
        <w:tabs>
          <w:tab w:val="left" w:pos="1734"/>
        </w:tabs>
        <w:spacing w:after="0" w:line="326" w:lineRule="exact"/>
        <w:ind w:left="500" w:right="140" w:firstLine="660"/>
        <w:jc w:val="both"/>
      </w:pPr>
      <w:r>
        <w:t>Заказчик обеспечивает беспрепятственный доступ в организации в</w:t>
      </w:r>
      <w:r>
        <w:br/>
        <w:t>период проведения Исполнителем работ по сбор) и обобщению информации о</w:t>
      </w:r>
      <w:r>
        <w:br/>
        <w:t>качестве условий оказания услуг организациями (дата выезда в организации</w:t>
      </w:r>
      <w:r>
        <w:br/>
        <w:t>согласовывается в рабочем порядке Исполнителем с Заказчиком) и</w:t>
      </w:r>
      <w:r>
        <w:br/>
        <w:t>осуществляет выборочный контроль за процессом проведения Исполнителем</w:t>
      </w:r>
    </w:p>
    <w:p w:rsidR="00483CEA" w:rsidRDefault="00677B2F" w:rsidP="00E50124">
      <w:pPr>
        <w:pStyle w:val="20"/>
        <w:framePr w:w="10219" w:h="4921" w:hRule="exact" w:wrap="none" w:vAnchor="page" w:hAnchor="page" w:x="1000" w:y="1605"/>
        <w:shd w:val="clear" w:color="auto" w:fill="auto"/>
        <w:tabs>
          <w:tab w:val="left" w:pos="1734"/>
        </w:tabs>
        <w:spacing w:after="0" w:line="326" w:lineRule="exact"/>
        <w:ind w:left="500" w:right="1325"/>
        <w:jc w:val="both"/>
      </w:pPr>
      <w:r>
        <w:t>независимой оценки качества условий оказания услуг в организациях.</w:t>
      </w:r>
    </w:p>
    <w:p w:rsidR="00483CEA" w:rsidRDefault="00677B2F" w:rsidP="00E50124">
      <w:pPr>
        <w:pStyle w:val="20"/>
        <w:framePr w:w="10219" w:h="4921" w:hRule="exact" w:wrap="none" w:vAnchor="page" w:hAnchor="page" w:x="1000" w:y="1605"/>
        <w:numPr>
          <w:ilvl w:val="1"/>
          <w:numId w:val="3"/>
        </w:numPr>
        <w:shd w:val="clear" w:color="auto" w:fill="auto"/>
        <w:tabs>
          <w:tab w:val="left" w:pos="2084"/>
        </w:tabs>
        <w:spacing w:after="0" w:line="326" w:lineRule="exact"/>
        <w:ind w:left="500" w:right="1464" w:firstLine="660"/>
        <w:jc w:val="both"/>
      </w:pPr>
      <w:r>
        <w:t>Техническое задание является неотъемлемой</w:t>
      </w:r>
      <w:r w:rsidR="00F706F7">
        <w:t xml:space="preserve"> </w:t>
      </w:r>
      <w:r>
        <w:t>Государственного (муниципального) контракта (договора).</w:t>
      </w:r>
    </w:p>
    <w:p w:rsidR="00E50124" w:rsidRDefault="00E50124" w:rsidP="00E50124">
      <w:pPr>
        <w:pStyle w:val="20"/>
        <w:framePr w:w="10219" w:h="4921" w:hRule="exact" w:wrap="none" w:vAnchor="page" w:hAnchor="page" w:x="1000" w:y="1605"/>
        <w:shd w:val="clear" w:color="auto" w:fill="auto"/>
        <w:tabs>
          <w:tab w:val="left" w:pos="2084"/>
        </w:tabs>
        <w:spacing w:after="0" w:line="326" w:lineRule="exact"/>
        <w:ind w:right="1464"/>
        <w:jc w:val="both"/>
      </w:pPr>
    </w:p>
    <w:p w:rsidR="00E50124" w:rsidRDefault="00E50124" w:rsidP="00E50124">
      <w:pPr>
        <w:pStyle w:val="20"/>
        <w:framePr w:w="10219" w:h="4921" w:hRule="exact" w:wrap="none" w:vAnchor="page" w:hAnchor="page" w:x="1000" w:y="1605"/>
        <w:shd w:val="clear" w:color="auto" w:fill="auto"/>
        <w:tabs>
          <w:tab w:val="left" w:pos="2084"/>
        </w:tabs>
        <w:spacing w:after="0" w:line="326" w:lineRule="exact"/>
        <w:ind w:right="1464"/>
        <w:jc w:val="both"/>
      </w:pPr>
    </w:p>
    <w:p w:rsidR="00E50124" w:rsidRDefault="00E50124" w:rsidP="00E50124">
      <w:pPr>
        <w:pStyle w:val="20"/>
        <w:framePr w:w="10219" w:h="4921" w:hRule="exact" w:wrap="none" w:vAnchor="page" w:hAnchor="page" w:x="1000" w:y="1605"/>
        <w:shd w:val="clear" w:color="auto" w:fill="auto"/>
        <w:tabs>
          <w:tab w:val="left" w:pos="2084"/>
        </w:tabs>
        <w:spacing w:after="0" w:line="326" w:lineRule="exact"/>
        <w:ind w:right="1464"/>
        <w:jc w:val="both"/>
      </w:pPr>
    </w:p>
    <w:p w:rsidR="00E50124" w:rsidRDefault="00E50124" w:rsidP="00E50124">
      <w:pPr>
        <w:pStyle w:val="20"/>
        <w:framePr w:w="10219" w:h="4921" w:hRule="exact" w:wrap="none" w:vAnchor="page" w:hAnchor="page" w:x="1000" w:y="1605"/>
        <w:shd w:val="clear" w:color="auto" w:fill="auto"/>
        <w:tabs>
          <w:tab w:val="left" w:pos="2084"/>
        </w:tabs>
        <w:spacing w:after="0" w:line="326" w:lineRule="exact"/>
        <w:ind w:right="1464"/>
        <w:jc w:val="both"/>
      </w:pPr>
    </w:p>
    <w:p w:rsidR="00E50124" w:rsidRPr="00E50124" w:rsidRDefault="00E50124" w:rsidP="00E50124">
      <w:pPr>
        <w:pStyle w:val="a9"/>
        <w:keepNext/>
        <w:keepLines/>
        <w:framePr w:w="10219" w:h="4921" w:hRule="exact" w:wrap="none" w:vAnchor="page" w:hAnchor="page" w:x="1000" w:y="1605"/>
        <w:widowControl/>
        <w:numPr>
          <w:ilvl w:val="0"/>
          <w:numId w:val="3"/>
        </w:numPr>
        <w:tabs>
          <w:tab w:val="left" w:pos="1276"/>
        </w:tabs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6"/>
      <w:r w:rsidRPr="00E50124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Юридические адреса и реквизиты «Сторон»</w:t>
      </w:r>
      <w:bookmarkEnd w:id="1"/>
    </w:p>
    <w:p w:rsidR="00E50124" w:rsidRDefault="00E50124" w:rsidP="00E50124">
      <w:pPr>
        <w:pStyle w:val="20"/>
        <w:framePr w:w="10219" w:h="4921" w:hRule="exact" w:wrap="none" w:vAnchor="page" w:hAnchor="page" w:x="1000" w:y="1605"/>
        <w:shd w:val="clear" w:color="auto" w:fill="auto"/>
        <w:tabs>
          <w:tab w:val="left" w:pos="2084"/>
        </w:tabs>
        <w:spacing w:after="0" w:line="326" w:lineRule="exact"/>
        <w:ind w:right="1464"/>
        <w:jc w:val="both"/>
      </w:pPr>
    </w:p>
    <w:p w:rsidR="00483CEA" w:rsidRDefault="00677B2F">
      <w:pPr>
        <w:pStyle w:val="20"/>
        <w:framePr w:wrap="none" w:vAnchor="page" w:hAnchor="page" w:x="10220" w:y="4220"/>
        <w:shd w:val="clear" w:color="auto" w:fill="auto"/>
        <w:spacing w:after="0" w:line="260" w:lineRule="exact"/>
        <w:jc w:val="left"/>
      </w:pPr>
      <w:r>
        <w:t>частью</w:t>
      </w:r>
    </w:p>
    <w:p w:rsidR="00A80882" w:rsidRPr="00A80882" w:rsidRDefault="00A80882" w:rsidP="00A80882">
      <w:pPr>
        <w:keepNext/>
        <w:keepLines/>
        <w:tabs>
          <w:tab w:val="left" w:pos="3868"/>
        </w:tabs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6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80882" w:rsidRPr="00A80882" w:rsidTr="00A80882">
        <w:tc>
          <w:tcPr>
            <w:tcW w:w="5140" w:type="dxa"/>
          </w:tcPr>
          <w:p w:rsidR="00A80882" w:rsidRDefault="00A80882" w:rsidP="00A80882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 стороны Заказчика</w:t>
            </w:r>
          </w:p>
        </w:tc>
        <w:tc>
          <w:tcPr>
            <w:tcW w:w="5141" w:type="dxa"/>
          </w:tcPr>
          <w:p w:rsidR="00A80882" w:rsidRDefault="00A80882" w:rsidP="00A80882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 стороны Исполнителя</w:t>
            </w:r>
          </w:p>
        </w:tc>
      </w:tr>
      <w:tr w:rsidR="00A80882" w:rsidRPr="00A80882" w:rsidTr="00A80882">
        <w:tc>
          <w:tcPr>
            <w:tcW w:w="5140" w:type="dxa"/>
          </w:tcPr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 МР "Левашинский район" Республики Дагестан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ИНН 0521006121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КПП 052101001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ОГРН 1020501262132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Юридический адрес: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368320, Республика Дагестан, Левашинский район, с.Леваши, ул.Ленина 12.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Р/счет 40204810200000000040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БИК 048209001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банка: ГРКЦ НБ РД БАНКА РОССИИ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41" w:type="dxa"/>
          </w:tcPr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sz w:val="28"/>
                <w:szCs w:val="28"/>
              </w:rPr>
              <w:t>МКУ Редакция газеты "По новому пути"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8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0521006097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052101001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8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368320 РД, Левашинский район, с. Леваши, ул. Буйнакская 69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82">
              <w:rPr>
                <w:rFonts w:ascii="Times New Roman" w:hAnsi="Times New Roman" w:cs="Times New Roman"/>
                <w:sz w:val="28"/>
                <w:szCs w:val="28"/>
              </w:rPr>
              <w:t xml:space="preserve">Р/счет </w:t>
            </w: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40101810600000010021</w:t>
            </w:r>
          </w:p>
          <w:p w:rsidR="00A80882" w:rsidRPr="00A80882" w:rsidRDefault="00A80882" w:rsidP="00A8088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 ГРКЦ НБ РД Банка России г. Махачкала</w:t>
            </w:r>
          </w:p>
          <w:p w:rsidR="00A80882" w:rsidRPr="00A80882" w:rsidRDefault="00A80882" w:rsidP="00A8088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БИК 048209001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A80882" w:rsidRPr="00A80882" w:rsidTr="00A80882">
        <w:tc>
          <w:tcPr>
            <w:tcW w:w="5140" w:type="dxa"/>
          </w:tcPr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Глава Администрации МР МР "Левашинский район"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________________ Ш. Дабишев 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41" w:type="dxa"/>
          </w:tcPr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Главный редактор МКУ "По новому пути"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A80882" w:rsidRPr="00A80882" w:rsidRDefault="00A80882" w:rsidP="00A80882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808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_____________ Г. Гасанов</w:t>
            </w:r>
          </w:p>
        </w:tc>
      </w:tr>
    </w:tbl>
    <w:p w:rsidR="00483CEA" w:rsidRDefault="00483CEA">
      <w:pPr>
        <w:rPr>
          <w:sz w:val="2"/>
          <w:szCs w:val="2"/>
        </w:rPr>
        <w:sectPr w:rsidR="00483CEA" w:rsidSect="00A80882">
          <w:pgSz w:w="11900" w:h="16840"/>
          <w:pgMar w:top="624" w:right="357" w:bottom="357" w:left="357" w:header="0" w:footer="6" w:gutter="0"/>
          <w:cols w:space="720"/>
          <w:noEndnote/>
          <w:docGrid w:linePitch="360"/>
        </w:sectPr>
      </w:pPr>
    </w:p>
    <w:p w:rsidR="005859C7" w:rsidRDefault="005859C7" w:rsidP="005859C7">
      <w:pPr>
        <w:pStyle w:val="20"/>
        <w:framePr w:w="10277" w:h="2032" w:hRule="exact" w:wrap="none" w:vAnchor="page" w:hAnchor="page" w:x="947" w:y="1347"/>
        <w:shd w:val="clear" w:color="auto" w:fill="auto"/>
        <w:spacing w:after="0" w:line="326" w:lineRule="exact"/>
        <w:ind w:right="600"/>
      </w:pPr>
      <w:r>
        <w:lastRenderedPageBreak/>
        <w:t>П Р И Л О Ж Е И Н И Е</w:t>
      </w:r>
      <w:r>
        <w:br/>
        <w:t>к техническому заданию</w:t>
      </w:r>
      <w:r>
        <w:br/>
        <w:t>на оказание услуги по сбору и обобщению</w:t>
      </w:r>
      <w:r>
        <w:br/>
        <w:t>информации для проведения Общественным</w:t>
      </w:r>
      <w:r>
        <w:br/>
        <w:t>советом независимой оценки качества условий</w:t>
      </w:r>
      <w:r>
        <w:br/>
        <w:t>оказания услуг организациями в 2019 году</w:t>
      </w:r>
    </w:p>
    <w:p w:rsidR="005859C7" w:rsidRDefault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rPr>
          <w:sz w:val="2"/>
          <w:szCs w:val="2"/>
        </w:rPr>
      </w:pP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9C7">
        <w:rPr>
          <w:rFonts w:ascii="Times New Roman" w:hAnsi="Times New Roman" w:cs="Times New Roman"/>
          <w:b/>
          <w:sz w:val="28"/>
          <w:szCs w:val="28"/>
        </w:rPr>
        <w:t>Перечень учреждений культуры подведомственных Администрации МР «Левашинский район», подлежащих проведению работ по с</w:t>
      </w:r>
      <w:r w:rsidRPr="005859C7">
        <w:rPr>
          <w:rFonts w:ascii="Times New Roman" w:hAnsi="Times New Roman" w:cs="Times New Roman"/>
          <w:b/>
          <w:bCs/>
          <w:sz w:val="28"/>
          <w:szCs w:val="28"/>
        </w:rPr>
        <w:t>бору, обобщению и анализу информации о качестве условий оказания услуг:</w:t>
      </w: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2" w:type="dxa"/>
        <w:tblInd w:w="113" w:type="dxa"/>
        <w:tblLook w:val="04A0" w:firstRow="1" w:lastRow="0" w:firstColumn="1" w:lastColumn="0" w:noHBand="0" w:noVBand="1"/>
      </w:tblPr>
      <w:tblGrid>
        <w:gridCol w:w="846"/>
        <w:gridCol w:w="9256"/>
      </w:tblGrid>
      <w:tr w:rsidR="005859C7" w:rsidRPr="005859C7" w:rsidTr="008B03EE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 МО "СЕЛО ХАХИТА" "ЛЕВАШИНСКОГО РАЙОНА РД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МО "СЕЛЬСОВЕТ "АРШИМАХИНСКИЙ" ЛЕВАШИНСКОГО РАЙОН РД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МО "СЕЛЬСОВЕТ "МЕКЕГИНСКИЙ" ЛЕВАШИНСКОГО РАЙОНА РД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МУНИЦИПАЛЬНОГО ОБРАЗОВАНИЯ "СЕЛО ЛЕВАШИ" ЛЕВАШИНСКОГО РАЙОНА РЕСПУБЛИКИ ДАГЕСТАН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МО "СЕЛЬСОВЕТ "ДЖАНГАМАХИНСКИЙ"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МО "СЕЛЬСОВЕТ ЦУДАХАРСКИЙ" ЛЕВАШИНСКОГО РАЙОНА РД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МО "СЕЛО "ЧУНИ" ЛЕВАШИНСКОГО РАЙОНА РД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"КУЛЬТУРНО-ДОСУГОВЫЙ ЦЕНТР" МО "СЕЛЬСОВЕТ КУППИНСКИЙ" ЛЕВАШИНСКОГО РАЙОНА РД</w:t>
            </w:r>
          </w:p>
        </w:tc>
      </w:tr>
      <w:tr w:rsidR="005859C7" w:rsidRPr="005859C7" w:rsidTr="008B03E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9C7" w:rsidRPr="005859C7" w:rsidRDefault="005859C7" w:rsidP="008B03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"КУЛЬТУРНО-ДОСУГОВЫЙ ЦЕНТР" СЕЛЬСКОГО ПОСЕЛЕНИЯ "СЕЛЬСОВЕТ "АЯЛАКАБСКИЙ" ЛЕВАШИНСКОГО РАЙОНА РД</w:t>
            </w:r>
          </w:p>
        </w:tc>
      </w:tr>
    </w:tbl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9C7">
        <w:rPr>
          <w:rFonts w:ascii="Times New Roman" w:hAnsi="Times New Roman" w:cs="Times New Roman"/>
          <w:b/>
          <w:sz w:val="28"/>
          <w:szCs w:val="28"/>
        </w:rPr>
        <w:t>Перечень учреждений образования подведомственных Администрации МР «Левашинский район», подлежащих проведению работ по с</w:t>
      </w:r>
      <w:r w:rsidRPr="005859C7">
        <w:rPr>
          <w:rFonts w:ascii="Times New Roman" w:hAnsi="Times New Roman" w:cs="Times New Roman"/>
          <w:b/>
          <w:bCs/>
          <w:sz w:val="28"/>
          <w:szCs w:val="28"/>
        </w:rPr>
        <w:t>бору, обобщению и анализу информации о качестве условий оказания услуг:</w:t>
      </w:r>
    </w:p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Ind w:w="113" w:type="dxa"/>
        <w:tblLook w:val="04A0" w:firstRow="1" w:lastRow="0" w:firstColumn="1" w:lastColumn="0" w:noHBand="0" w:noVBand="1"/>
      </w:tblPr>
      <w:tblGrid>
        <w:gridCol w:w="968"/>
        <w:gridCol w:w="8917"/>
      </w:tblGrid>
      <w:tr w:rsidR="005859C7" w:rsidRPr="005859C7" w:rsidTr="008B03EE">
        <w:trPr>
          <w:trHeight w:val="72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"ДЖАНГАМАХИНСКАЯ  СРЕДНЯЯ ОБЩЕОБРАЗОВАТЕЛЬНАЯ ШКОЛА"</w:t>
            </w:r>
          </w:p>
        </w:tc>
      </w:tr>
      <w:tr w:rsidR="005859C7" w:rsidRPr="005859C7" w:rsidTr="008B03EE">
        <w:trPr>
          <w:trHeight w:val="836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 ЛЕВАШИНСКИЙ ДЕТСКИЙ САД №1 "СОЛНЫШКО"</w:t>
            </w:r>
          </w:p>
        </w:tc>
      </w:tr>
      <w:tr w:rsidR="005859C7" w:rsidRPr="005859C7" w:rsidTr="008B03EE">
        <w:trPr>
          <w:trHeight w:val="84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"КАРЕКАДАНИНСКАЯ СРЕДНЯЯ ОБЩЕОБРАЗОВАТЕЛЬНАЯ ШКОЛА"</w:t>
            </w:r>
          </w:p>
        </w:tc>
      </w:tr>
      <w:tr w:rsidR="005859C7" w:rsidRPr="005859C7" w:rsidTr="008B03EE">
        <w:trPr>
          <w:trHeight w:val="83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"ЭБДАЛАИНСКАЯ СРЕДНЯЯ ОБЩЕОБРАЗОВАТЕЛЬНАЯ ШКОЛА"</w:t>
            </w:r>
          </w:p>
        </w:tc>
      </w:tr>
      <w:tr w:rsidR="005859C7" w:rsidRPr="005859C7" w:rsidTr="008B03EE">
        <w:trPr>
          <w:trHeight w:val="112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ДОПОЛНИТЕЛЬНОГО ОБРАЗОВАНИЯ  "ХАХИТИНСКАЯ ДЕТСКАЯ ШКОЛА ИСКУССТВ"</w:t>
            </w:r>
          </w:p>
        </w:tc>
      </w:tr>
      <w:tr w:rsidR="005859C7" w:rsidRPr="005859C7" w:rsidTr="008B03EE">
        <w:trPr>
          <w:trHeight w:val="97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КУТИШИНСКИЙ ДЕТСКИЙ САД "ТЕРЕМОК"</w:t>
            </w:r>
          </w:p>
        </w:tc>
      </w:tr>
      <w:tr w:rsidR="005859C7" w:rsidRPr="005859C7" w:rsidTr="008B03EE">
        <w:trPr>
          <w:trHeight w:val="112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АРАДА-ЧУГЛИНСКИЙ ДЕТСКИЙ САД "БЕРЕЗКА"</w:t>
            </w:r>
          </w:p>
        </w:tc>
      </w:tr>
      <w:tr w:rsidR="005859C7" w:rsidRPr="005859C7" w:rsidTr="008B03EE">
        <w:trPr>
          <w:trHeight w:val="9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ДОПОЛНИТЕЛЬНОГО ОБРАЗОВАНИЯ "ЦУДАХАРСКАЯ ДЕТСКО-ЮНОШЕСТСКАЯ СПОРТИВНАЯ ШКОЛА"</w:t>
            </w:r>
          </w:p>
        </w:tc>
      </w:tr>
      <w:tr w:rsidR="005859C7" w:rsidRPr="005859C7" w:rsidTr="008B03EE">
        <w:trPr>
          <w:trHeight w:val="83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ДОШКОЛЬНОЕ ОБРАЗОВАТЕЛЬНОЕ УЧРЕЖДЕНИЕ УРМИНСКИЙ ДЕТСКИЙ САД "ОРЛЕНОК"</w:t>
            </w:r>
          </w:p>
        </w:tc>
      </w:tr>
      <w:tr w:rsidR="005859C7" w:rsidRPr="005859C7" w:rsidTr="008B03EE">
        <w:trPr>
          <w:trHeight w:val="98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"АРАДА-ЧУГЛИНСКАЯ ДЕТСКО-ЮНОШЕСКАЯ СПОРТИВНАЯ ШКОЛА"</w:t>
            </w:r>
          </w:p>
        </w:tc>
      </w:tr>
      <w:tr w:rsidR="005859C7" w:rsidRPr="005859C7" w:rsidTr="008B03EE">
        <w:trPr>
          <w:trHeight w:val="112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ЛЕВАШИНСКИЙ ДЕТСКИЙ САД "СКАЗКА"</w:t>
            </w:r>
          </w:p>
        </w:tc>
      </w:tr>
      <w:tr w:rsidR="005859C7" w:rsidRPr="005859C7" w:rsidTr="008B03EE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"ЧУНИНСКАЯ СРЕДНЯЯ ОБЩЕОБРАЗОВАТЕЛЬНАЯ ШКОЛА"</w:t>
            </w:r>
          </w:p>
        </w:tc>
      </w:tr>
      <w:tr w:rsidR="005859C7" w:rsidRPr="005859C7" w:rsidTr="008B03EE">
        <w:trPr>
          <w:trHeight w:val="983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"ЛЕВАШИНСКАЯ СРЕДНЯЯ ОБЩЕОБРАЗОВАТЕЛЬНАЯ ШКОЛА №2"</w:t>
            </w:r>
          </w:p>
        </w:tc>
      </w:tr>
      <w:tr w:rsidR="005859C7" w:rsidRPr="005859C7" w:rsidTr="008B03EE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ind w:lef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"ТАШКАПУРСКАЯ СРЕДНЯЯ ОБЩЕОБРАЗОВАТЕЛЬНАЯ ШКОЛА"</w:t>
            </w:r>
          </w:p>
        </w:tc>
      </w:tr>
      <w:tr w:rsidR="005859C7" w:rsidRPr="005859C7" w:rsidTr="008B03EE">
        <w:trPr>
          <w:trHeight w:val="74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 "ЦУХТАМАХИНСКАЯ СРЕДНЯЯ ОБЩЕОБРАЗОВАТЕЛЬНАЯ ШКОЛА"</w:t>
            </w:r>
          </w:p>
        </w:tc>
      </w:tr>
      <w:tr w:rsidR="005859C7" w:rsidRPr="005859C7" w:rsidTr="008B03EE">
        <w:trPr>
          <w:trHeight w:val="13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"УЛЛУАИНСКАЯ СРЕДНЯЯ ОБЩЕОБРАЗОВАТЕЛЬНАЯ ШКОЛА"</w:t>
            </w:r>
          </w:p>
        </w:tc>
      </w:tr>
      <w:tr w:rsidR="005859C7" w:rsidRPr="005859C7" w:rsidTr="008B03EE">
        <w:trPr>
          <w:trHeight w:val="131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"АЯЛАКАБСКАЯ СРЕДНЯЯ ОБЩЕОБРАЗОВАТЕЛЬНАЯ  ШКОЛА" ИМ. БАГАНДОВА Б. М.</w:t>
            </w:r>
          </w:p>
        </w:tc>
      </w:tr>
      <w:tr w:rsidR="005859C7" w:rsidRPr="005859C7" w:rsidTr="008B03EE">
        <w:trPr>
          <w:trHeight w:val="125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 "АРШИНСКАЯ СРЕДНЯЯ ОБЩЕОБРАЗОВАТЕЛЬНАЯ ШКОЛА"</w:t>
            </w:r>
          </w:p>
        </w:tc>
      </w:tr>
      <w:tr w:rsidR="005859C7" w:rsidRPr="005859C7" w:rsidTr="008B03EE">
        <w:trPr>
          <w:trHeight w:val="113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"ЛЕВАШИНСКАЯ ГИМНАЗИЯ"</w:t>
            </w:r>
          </w:p>
        </w:tc>
      </w:tr>
      <w:tr w:rsidR="005859C7" w:rsidRPr="005859C7" w:rsidTr="008B03EE">
        <w:trPr>
          <w:trHeight w:val="96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"КАРЛАБКИНСКАЯ СРЕДНЯЯ ОБЩЕОБРАЗОВАТЕЛЬНАЯ ШКОЛА "</w:t>
            </w:r>
          </w:p>
        </w:tc>
      </w:tr>
      <w:tr w:rsidR="005859C7" w:rsidRPr="005859C7" w:rsidTr="008B03EE">
        <w:trPr>
          <w:trHeight w:val="967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"ЛЕВАШИНСКИЙ ДЕТСКИЙ САД №2 "РАДУГА</w:t>
            </w:r>
          </w:p>
        </w:tc>
      </w:tr>
      <w:tr w:rsidR="005859C7" w:rsidRPr="005859C7" w:rsidTr="008B03EE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9C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"ДОМ ДЕТСКОГО ТВОРЧЕСТВА"</w:t>
            </w:r>
          </w:p>
        </w:tc>
      </w:tr>
      <w:tr w:rsidR="005859C7" w:rsidRPr="005859C7" w:rsidTr="008B03EE">
        <w:trPr>
          <w:trHeight w:val="109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C7" w:rsidRPr="005859C7" w:rsidRDefault="005859C7" w:rsidP="008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9C7" w:rsidRPr="005859C7" w:rsidRDefault="005859C7" w:rsidP="005859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9C7" w:rsidRPr="005859C7" w:rsidRDefault="005859C7" w:rsidP="005859C7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p w:rsidR="005859C7" w:rsidRPr="005859C7" w:rsidRDefault="005859C7" w:rsidP="005859C7">
      <w:pPr>
        <w:rPr>
          <w:rFonts w:ascii="Times New Roman" w:hAnsi="Times New Roman" w:cs="Times New Roman"/>
          <w:sz w:val="28"/>
          <w:szCs w:val="28"/>
        </w:rPr>
      </w:pPr>
    </w:p>
    <w:sectPr w:rsidR="005859C7" w:rsidRPr="005859C7" w:rsidSect="00F706F7">
      <w:pgSz w:w="11900" w:h="16840"/>
      <w:pgMar w:top="709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B1" w:rsidRDefault="008926B1">
      <w:r>
        <w:separator/>
      </w:r>
    </w:p>
  </w:endnote>
  <w:endnote w:type="continuationSeparator" w:id="0">
    <w:p w:rsidR="008926B1" w:rsidRDefault="0089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B1" w:rsidRDefault="008926B1"/>
  </w:footnote>
  <w:footnote w:type="continuationSeparator" w:id="0">
    <w:p w:rsidR="008926B1" w:rsidRDefault="00892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72"/>
    <w:multiLevelType w:val="multilevel"/>
    <w:tmpl w:val="02AE0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261CA"/>
    <w:multiLevelType w:val="hybridMultilevel"/>
    <w:tmpl w:val="7FC0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A93"/>
    <w:multiLevelType w:val="multilevel"/>
    <w:tmpl w:val="02AE0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53E0A"/>
    <w:multiLevelType w:val="multilevel"/>
    <w:tmpl w:val="38961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A"/>
    <w:rsid w:val="00432755"/>
    <w:rsid w:val="00483CEA"/>
    <w:rsid w:val="00506F85"/>
    <w:rsid w:val="005859C7"/>
    <w:rsid w:val="00677B2F"/>
    <w:rsid w:val="007B4D7C"/>
    <w:rsid w:val="00800D7B"/>
    <w:rsid w:val="008926B1"/>
    <w:rsid w:val="00937A9D"/>
    <w:rsid w:val="00A80882"/>
    <w:rsid w:val="00E50124"/>
    <w:rsid w:val="00F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1F31"/>
  <w15:docId w15:val="{56F1D41A-8692-475F-9EE0-6E8313A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2pt">
    <w:name w:val="Основной текст (3) + 11 pt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8pt">
    <w:name w:val="Основной текст (2) + Microsoft Sans Serif;8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140" w:after="660"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center"/>
    </w:pPr>
    <w:rPr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A80882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</cp:lastModifiedBy>
  <cp:revision>7</cp:revision>
  <dcterms:created xsi:type="dcterms:W3CDTF">2019-07-10T05:42:00Z</dcterms:created>
  <dcterms:modified xsi:type="dcterms:W3CDTF">2019-07-10T14:23:00Z</dcterms:modified>
</cp:coreProperties>
</file>